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B" w:rsidRPr="001F772B" w:rsidRDefault="001F772B" w:rsidP="001F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C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2022 YILI AKADEMİK TEŞVİK </w:t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39"/>
        <w:gridCol w:w="7225"/>
      </w:tblGrid>
      <w:tr w:rsidR="001F772B" w:rsidRPr="001F772B" w:rsidTr="001F772B">
        <w:trPr>
          <w:trHeight w:val="120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Niteliği</w:t>
            </w:r>
          </w:p>
        </w:tc>
      </w:tr>
      <w:tr w:rsidR="001F772B" w:rsidRPr="001F772B" w:rsidTr="001F772B">
        <w:trPr>
          <w:trHeight w:val="1308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0-14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</w:p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elemanları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2021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yılına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faaliyetlerine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ilişkin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YÖKSİS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Akademik Teşvik Başvuru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çıktı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Ödeneği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Elemanı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Beyan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hyperlink r:id="rId5" w:tooltip="Form1" w:history="1">
              <w:r w:rsidRPr="001F772B">
                <w:rPr>
                  <w:rFonts w:ascii="Arial" w:eastAsia="Times New Roman" w:hAnsi="Arial" w:cs="Arial"/>
                  <w:color w:val="333399"/>
                  <w:sz w:val="24"/>
                  <w:szCs w:val="24"/>
                  <w:u w:val="single"/>
                  <w:lang w:eastAsia="tr-TR"/>
                </w:rPr>
                <w:t>Form-1</w:t>
              </w:r>
            </w:hyperlink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başvurularını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kadrolarının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birimlere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(Fakülte,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Yüksekokullarda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Başkanlıklarına,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Rektörlüğe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Bölümlerde,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Başkanlıklarına)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yapılması</w:t>
            </w:r>
          </w:p>
        </w:tc>
      </w:tr>
      <w:tr w:rsidR="001F772B" w:rsidRPr="001F772B" w:rsidTr="001F772B">
        <w:trPr>
          <w:trHeight w:val="972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17-22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</w:p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elemanları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İnceleme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incelenmesi,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sonucu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eksiklikler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giderilerek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İnceleme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iletilmesi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(Birimlere teslim edilen Akademik Teşvik Başvuru dosyaları düzensiz hazırlanmışsa yeniden düzenleterek almaları gerekmektedir) </w:t>
            </w:r>
          </w:p>
        </w:tc>
      </w:tr>
      <w:tr w:rsidR="001F772B" w:rsidRPr="001F772B" w:rsidTr="001F772B">
        <w:trPr>
          <w:trHeight w:val="1272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Birimlerde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İnceleme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yapılmış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sonuçları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Üniversite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Düzenleme,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Yüksekokul/Meslek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Ödeneği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İnceleme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Heyeti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Tutanağı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tr-TR"/>
              </w:rPr>
              <w:t>(</w:t>
            </w:r>
            <w:hyperlink r:id="rId6" w:tooltip="Form2" w:history="1">
              <w:r w:rsidRPr="001F772B">
                <w:rPr>
                  <w:rFonts w:ascii="Arial" w:eastAsia="Times New Roman" w:hAnsi="Arial" w:cs="Arial"/>
                  <w:color w:val="333399"/>
                  <w:sz w:val="24"/>
                  <w:szCs w:val="24"/>
                  <w:u w:val="single"/>
                  <w:lang w:eastAsia="tr-TR"/>
                </w:rPr>
                <w:t>Form-2</w:t>
              </w:r>
            </w:hyperlink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tutanakla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edilmesi</w:t>
            </w:r>
          </w:p>
        </w:tc>
      </w:tr>
      <w:tr w:rsidR="001F772B" w:rsidRPr="001F772B" w:rsidTr="001F772B">
        <w:trPr>
          <w:trHeight w:val="396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5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Düzenleme,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incelenmesi</w:t>
            </w:r>
          </w:p>
        </w:tc>
      </w:tr>
      <w:tr w:rsidR="001F772B" w:rsidRPr="001F772B" w:rsidTr="001F772B">
        <w:trPr>
          <w:trHeight w:val="828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İnceleme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gönderilen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İnceleme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tutanakların,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Üniversite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Düzenleme,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bağlanması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sonuçların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sayfasında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edilmesi</w:t>
            </w:r>
          </w:p>
        </w:tc>
      </w:tr>
      <w:tr w:rsidR="001F772B" w:rsidRPr="001F772B" w:rsidTr="001F772B">
        <w:trPr>
          <w:trHeight w:val="480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7-28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Düzenleme,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edilmesi</w:t>
            </w:r>
          </w:p>
        </w:tc>
      </w:tr>
      <w:tr w:rsidR="001F772B" w:rsidRPr="001F772B" w:rsidTr="001F772B">
        <w:trPr>
          <w:trHeight w:val="360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31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İtirazların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Düzenleme,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verilmesi</w:t>
            </w:r>
          </w:p>
        </w:tc>
      </w:tr>
      <w:tr w:rsidR="001F772B" w:rsidRPr="001F772B" w:rsidTr="001F772B">
        <w:trPr>
          <w:trHeight w:val="612"/>
        </w:trPr>
        <w:tc>
          <w:tcPr>
            <w:tcW w:w="1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Şubat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</w:p>
        </w:tc>
        <w:tc>
          <w:tcPr>
            <w:tcW w:w="7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772B" w:rsidRPr="001F772B" w:rsidRDefault="001F772B" w:rsidP="001F7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Teşvik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Düzenleme,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sonuçların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sayfasından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F77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edilmesi</w:t>
            </w:r>
          </w:p>
        </w:tc>
      </w:tr>
    </w:tbl>
    <w:p w:rsidR="001F772B" w:rsidRPr="001F772B" w:rsidRDefault="001F772B" w:rsidP="001F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C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</w:p>
    <w:p w:rsidR="001F772B" w:rsidRPr="001F772B" w:rsidRDefault="001F772B" w:rsidP="001F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C"/>
          <w:sz w:val="21"/>
          <w:szCs w:val="21"/>
          <w:lang w:eastAsia="tr-TR"/>
        </w:rPr>
      </w:pPr>
      <w:r w:rsidRPr="001F772B">
        <w:rPr>
          <w:rFonts w:ascii="Arial" w:eastAsia="Times New Roman" w:hAnsi="Arial" w:cs="Arial"/>
          <w:b/>
          <w:bCs/>
          <w:color w:val="48484C"/>
          <w:sz w:val="21"/>
          <w:szCs w:val="21"/>
          <w:lang w:eastAsia="tr-TR"/>
        </w:rPr>
        <w:lastRenderedPageBreak/>
        <w:t>Not:</w:t>
      </w:r>
    </w:p>
    <w:p w:rsidR="001F772B" w:rsidRPr="001F772B" w:rsidRDefault="001F772B" w:rsidP="001F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C"/>
          <w:sz w:val="21"/>
          <w:szCs w:val="21"/>
          <w:lang w:eastAsia="tr-TR"/>
        </w:rPr>
      </w:pPr>
      <w:r w:rsidRPr="001F772B">
        <w:rPr>
          <w:rFonts w:ascii="Arial" w:eastAsia="Times New Roman" w:hAnsi="Arial" w:cs="Arial"/>
          <w:b/>
          <w:bCs/>
          <w:color w:val="48484C"/>
          <w:sz w:val="21"/>
          <w:szCs w:val="21"/>
          <w:lang w:eastAsia="tr-TR"/>
        </w:rPr>
        <w:t>1.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Akademik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faaliyetlere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ilişkin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başvurularda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YÖKSİS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="000E4823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üzerinden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(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hyperlink r:id="rId7" w:tgtFrame="_blank" w:history="1">
        <w:r w:rsidRPr="001F772B">
          <w:rPr>
            <w:rFonts w:ascii="Arial" w:eastAsia="Times New Roman" w:hAnsi="Arial" w:cs="Arial"/>
            <w:color w:val="333399"/>
            <w:sz w:val="21"/>
            <w:szCs w:val="21"/>
            <w:u w:val="single"/>
            <w:lang w:eastAsia="tr-TR"/>
          </w:rPr>
          <w:t>https://yoksis.yok.gov.tr/</w:t>
        </w:r>
      </w:hyperlink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)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alınan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="000E4823"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2021 yılına ait Akademik Teşvik Başvuru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çıktı</w:t>
      </w:r>
      <w:r w:rsidR="000E4823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sı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ve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teşvik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başvuru</w:t>
      </w:r>
      <w:r w:rsidR="000E4823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sun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da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kullanılan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faaliyetlere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ait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belgeler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kullanılacaktır.</w:t>
      </w:r>
    </w:p>
    <w:p w:rsidR="001F772B" w:rsidRPr="001F772B" w:rsidRDefault="001F772B" w:rsidP="001F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C"/>
          <w:sz w:val="21"/>
          <w:szCs w:val="21"/>
          <w:lang w:eastAsia="tr-TR"/>
        </w:rPr>
      </w:pPr>
      <w:r w:rsidRPr="001F772B">
        <w:rPr>
          <w:rFonts w:ascii="Arial" w:eastAsia="Times New Roman" w:hAnsi="Arial" w:cs="Arial"/>
          <w:b/>
          <w:bCs/>
          <w:color w:val="48484C"/>
          <w:sz w:val="21"/>
          <w:szCs w:val="21"/>
          <w:lang w:eastAsia="tr-TR"/>
        </w:rPr>
        <w:t>2.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Kurum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değiştiren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öğretim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elemanları,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Gümüşhane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Üniversitesi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internet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sayfasında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yer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alan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hyperlink r:id="rId8" w:tooltip="Form3" w:history="1">
        <w:r w:rsidRPr="001F772B">
          <w:rPr>
            <w:rFonts w:ascii="Arial" w:eastAsia="Times New Roman" w:hAnsi="Arial" w:cs="Arial"/>
            <w:color w:val="333399"/>
            <w:sz w:val="21"/>
            <w:szCs w:val="21"/>
            <w:u w:val="single"/>
            <w:lang w:eastAsia="tr-TR"/>
          </w:rPr>
          <w:t>Formu-3</w:t>
        </w:r>
      </w:hyperlink>
      <w:bookmarkStart w:id="0" w:name="_GoBack"/>
      <w:bookmarkEnd w:id="0"/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’ü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doldurması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gerekmektedir.</w:t>
      </w:r>
    </w:p>
    <w:p w:rsidR="001F772B" w:rsidRPr="001F772B" w:rsidRDefault="001F772B" w:rsidP="001F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C"/>
          <w:sz w:val="21"/>
          <w:szCs w:val="21"/>
          <w:lang w:eastAsia="tr-TR"/>
        </w:rPr>
      </w:pPr>
      <w:r w:rsidRPr="001F772B">
        <w:rPr>
          <w:rFonts w:ascii="Arial" w:eastAsia="Times New Roman" w:hAnsi="Arial" w:cs="Arial"/>
          <w:b/>
          <w:bCs/>
          <w:color w:val="48484C"/>
          <w:sz w:val="21"/>
          <w:szCs w:val="21"/>
          <w:lang w:eastAsia="tr-TR"/>
        </w:rPr>
        <w:t>3.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Alan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indeksleri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kapsamına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alınacak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yayın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ve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atıflarda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Üniversiteler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Arası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Kurulun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belirtmiş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olduğu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alan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indeksleri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dışındakiler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kabul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edilmeyecektir.</w:t>
      </w:r>
    </w:p>
    <w:p w:rsidR="001F772B" w:rsidRPr="001F772B" w:rsidRDefault="001F772B" w:rsidP="001F77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C"/>
          <w:sz w:val="21"/>
          <w:szCs w:val="21"/>
          <w:lang w:eastAsia="tr-TR"/>
        </w:rPr>
      </w:pPr>
      <w:r w:rsidRPr="001F772B">
        <w:rPr>
          <w:rFonts w:ascii="Arial" w:eastAsia="Times New Roman" w:hAnsi="Arial" w:cs="Arial"/>
          <w:b/>
          <w:bCs/>
          <w:color w:val="48484C"/>
          <w:sz w:val="21"/>
          <w:szCs w:val="21"/>
          <w:lang w:eastAsia="tr-TR"/>
        </w:rPr>
        <w:t>4.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Tüm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öğretim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elemanları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puanı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ne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olursa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olsun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bir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akademik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yıl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içindeki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yapılan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faaliyetlerin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tümü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proofErr w:type="spellStart"/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YÖKSİS’e</w:t>
      </w:r>
      <w:proofErr w:type="spellEnd"/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giriş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yapılmalıdır.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Toplam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puanı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30’un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altında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olanların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sadece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YÖKSİS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çıktısı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vermesi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yeterli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olacaktır.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Belgelenmeyen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faaliyetler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için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yapılan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başvurular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değerlendirilmeye</w:t>
      </w:r>
      <w:r>
        <w:rPr>
          <w:rFonts w:ascii="Arial" w:eastAsia="Times New Roman" w:hAnsi="Arial" w:cs="Arial"/>
          <w:color w:val="48484C"/>
          <w:sz w:val="21"/>
          <w:szCs w:val="21"/>
          <w:lang w:eastAsia="tr-TR"/>
        </w:rPr>
        <w:t xml:space="preserve"> </w:t>
      </w:r>
      <w:r w:rsidRPr="001F772B">
        <w:rPr>
          <w:rFonts w:ascii="Arial" w:eastAsia="Times New Roman" w:hAnsi="Arial" w:cs="Arial"/>
          <w:color w:val="48484C"/>
          <w:sz w:val="21"/>
          <w:szCs w:val="21"/>
          <w:lang w:eastAsia="tr-TR"/>
        </w:rPr>
        <w:t>alınmayacaktır.</w:t>
      </w:r>
    </w:p>
    <w:p w:rsidR="00804E14" w:rsidRDefault="00804E14"/>
    <w:sectPr w:rsidR="0080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9"/>
    <w:rsid w:val="000E4823"/>
    <w:rsid w:val="000F00A9"/>
    <w:rsid w:val="001F772B"/>
    <w:rsid w:val="003C075F"/>
    <w:rsid w:val="008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772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F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772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F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mushane.edu.tr/media/uploads/images/duyuru/2022-Duyuru/FORM-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ksis.yok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mushane.edu.tr/media/uploads/images/duyuru/2022-Duyuru/FORM-2.docx" TargetMode="External"/><Relationship Id="rId5" Type="http://schemas.openxmlformats.org/officeDocument/2006/relationships/hyperlink" Target="http://gumushane.edu.tr/media/uploads/images/duyuru/2022-Duyuru/FORM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GUNIV</dc:creator>
  <cp:keywords/>
  <dc:description/>
  <cp:lastModifiedBy>hp</cp:lastModifiedBy>
  <cp:revision>3</cp:revision>
  <dcterms:created xsi:type="dcterms:W3CDTF">2021-12-20T08:30:00Z</dcterms:created>
  <dcterms:modified xsi:type="dcterms:W3CDTF">2022-01-06T08:13:00Z</dcterms:modified>
</cp:coreProperties>
</file>